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2766d9f2ff3436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15840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GORNJE JESENJE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704.220,75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726.587,45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689.303,92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783.639,32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57.051,87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20.174,14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20.174,14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11.529,31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5.257,31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68.581,18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1304,5</w:t>
            </w:r>
          </w:p>
        </w:tc>
      </w:tr>
    </w:tbl>
    <w:p>
      <w:pPr>
        <w:spacing w:before="0" w:after="0"/>
      </w:pPr>
    </w:p>
    <w:p>
      <w:r>
        <w:t xml:space="preserve">Osnovna škola Gornje Jesenje posluje u skladu sa Zakonom o odgoju i obrazovanju u osnovnim i srednjim školama te Statutom škole. Osim osnovne djelatnosti odgoja i obrazovanja, Osnovna škola Gornje Jesenje obavlja gospodarske djelatnosti i ostvaruje vlastite prihode od prodaje proizvoda, tj. otpadnog papira, te najma uredskog prostora. Osnovna škola Gornje Jesenje nije u sustavu poreza na dobit niti u sustavu poreza na dodanu vrijednost. Osnovna škola Gornje Jesenje vodi proračunsko računovodstvo u skladu sa Zakonom o proračunu i Pravilnikom o proračunskom računovodstvu, a financijski izvještaj sastavlja se u skladu s propisima o proračunskom računovodstvu. Ukupni prihodi u izvještajnom razdoblju iznose 783.639,32 eura. Godišnji rashodi se odnose na kupnju udžbenika za školsku godinu 2026./2025. u iznosu od 5.181,33 eura, knjiga za knjižnicu 446,10 eura, uredskih stolica za računovodstvo u iznosu od 430,00 eura te računala i računalne opreme u iznosu od 5.471,88 eura za potrebe učenika. Osnovna škola Gornje Jesenje prenijela je višak od 4.706,84 eura, što sada iznosi 4.579,71, jer su sredstva vraćena prema Odluci na teret viška. Šifra manjka prihoda Y005 za ovo izvještajno razdoblje iznosi 68.581,18 eura, a ukupni manjak prihoda iznosi 64.001,47 eura. Ovaj manjak odnosi se na troškove plaća za prosinac/2025. i ostale materijalne troškove.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međunarodnih organizacija te institucija i tijela EU (šifre 6321 do 6324)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w:t>
            </w:r>
          </w:p>
        </w:tc>
      </w:tr>
    </w:tbl>
    <w:p>
      <w:pPr>
        <w:spacing w:before="0" w:after="0"/>
      </w:pPr>
    </w:p>
    <w:p>
      <w:r>
        <w:t xml:space="preserve">U tekućoj izvještajnoj godini ostvareno je 6.000,00 eura prihoda, od ukupnog iznosa 4.171,87 eura prihoda se odnosi na tekuće pomoći, dok 1.828,13 eura prihoda se odnosi na kapitalne pomoći. Prihodi su ostvareni u sklopu projekta. Erasmus+ Mi smo djeca ove Zemlje  za nabavu opreme škole, te za ostale materijalne rashode škole u sklopu projekta. Projekt je u 2025.godini u potpunosti završen.</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Od ove godine kto 633 Pomoć proračunskim i neproračunskim korisnicima iz drugih proračuna JLS se vodi na kontu 636.</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613.468,86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653.097,08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r>
        <w:t xml:space="preserve">U tekućoj izvještajnoj godini ostvareno je 653.097,08 eura prihoda što čini povećanje za 6,5% u odnosu na prošlo izvještajno razdoblje. Sredstva su ostvarena od Ministarstva znanosti i obrazovanja za isplate plaće i materijalnih prava te pomoći od općinskog proračuna za nabavu sitnog inventara škole te ostale materijalne rashode. Od tog iznosa na pomoći od JLS otpada 7.500,00 prihoda koji se  u prošloj izvještajnoj godini vodio pod kto 633.</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w:t>
            </w:r>
          </w:p>
        </w:tc>
      </w:tr>
    </w:tbl>
    <w:p>
      <w:pPr>
        <w:spacing w:before="0" w:after="0"/>
      </w:pPr>
    </w:p>
    <w:p>
      <w:r>
        <w:t xml:space="preserve">Prihodi u izvještajnoj godini ostvareni su za 52,4 % manje u odnosu na prošlo izvještajno razdoblje zbog ulaska  škole u punu riznicu te ukidanja blagajne. Ostvareni prihodi u iznosu od 3.674,34 eura se odnose na realizirane izlete i terenske nastave učenika te za ostale namjenske rashode.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Prihod od 2.759,81 je ostvaren na temelju iznajmljivanja školske sportske dovrane te bilježi blagi porast u odnosu na prethodno izvještajno razdoblje.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w:t>
            </w:r>
          </w:p>
        </w:tc>
      </w:tr>
    </w:tbl>
    <w:p>
      <w:pPr>
        <w:spacing w:before="0" w:after="0"/>
      </w:pPr>
    </w:p>
    <w:p>
      <w:r>
        <w:t xml:space="preserve">U izvještajnoj godini ostvareno 4.633,30 eura prihoda, dok je u istom razdoblju prethodne godine ostvareno 10.018,40 eura prihoda. Razlog tome što je škola u ovoj izvještajnoj godini primila puno manje donacija nego u prošloj izvještajnoj godini. Od Crvenog križa ostvareno je 72,80 eura za solidarnost na djelu.a od ŽŠSS KZŽ ostvareno je 4.560,50 eura.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52.206,72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56.420,93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U izvještajnoj godini ostvareno 56.420,93 eura. Ukupan iznos ostvarenih sredstava odnosi se na sredstva Decentralizacije za redovno poslovanje Škole u iznosu od 37.588,88 eura, a preostali iznos 18.832,05 ura odnosi se  izvanredna sredstva za hitne intervencije, sudjelovanju u projektima Školska shema, E-tehničar, Građanski odgoj, Baltazar- pomoćnici u nastavi, za županijska natjecanja učenika, zimske i proljetne radionice učenika te za nabavu nefinancijske imovine.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573.702,23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670.452,43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U tekućoj izvještajnoj godini ostvareno je 670.452,43 eura rashoda, dok je u istom razdoblju prošle godine ostvareno 573.702,23 eura rashoda. Razlog povećanja rashoda je zbog učestalih bolovanja zaposlenika za koje je bilo potrebno realizirati zamjene, povećanja osnovice plaća tokom godine, te povećanje satnice i broja  pomoćnika u nastavi za  djecu s teškoćama u razvoju.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18.272,21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17.404,74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bl>
    <w:p>
      <w:pPr>
        <w:spacing w:before="0" w:after="0"/>
      </w:pPr>
    </w:p>
    <w:p>
      <w:r>
        <w:t xml:space="preserve">U izvještajnoj godini ostvareno je 17.404,74 eura rashoda dok je u prošlom izvještajnom razdoblju ostvareno 18.272,21 eura.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w:t>
            </w:r>
          </w:p>
        </w:tc>
      </w:tr>
    </w:tbl>
    <w:p>
      <w:pPr>
        <w:spacing w:before="0" w:after="0"/>
      </w:pPr>
    </w:p>
    <w:p>
      <w:r>
        <w:t xml:space="preserve">U tekućoj izvještajnoj godini ostvareno je 6.068,81 za nabavu sitnog inventara, koja je neophodna za rad. 5.399,39 EUR utrošeno je na nabavku  za vreća za spavanje i spužvi, 254,69 na zvučnik,  potrebnih za provedbu projekta u kojima sudjeluju učenici škole. Preostalih 414,73 utrošeno je na nabavku 2. el. grijalice i kuh. vage za vaganje pošte za potrebe tajništva i računovodstva.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w:t>
            </w:r>
          </w:p>
        </w:tc>
      </w:tr>
    </w:tbl>
    <w:p>
      <w:pPr>
        <w:spacing w:before="0" w:after="0"/>
      </w:pPr>
    </w:p>
    <w:p>
      <w:r>
        <w:t xml:space="preserve">U tekućoj izvještajnoj godini ostvareno je 393,34 eura rashoda zbog nabave službene radne odjeće za tehničko osoblje škole, koja je neophodna za rad.</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695,7</w:t>
            </w:r>
          </w:p>
        </w:tc>
      </w:tr>
    </w:tbl>
    <w:p>
      <w:pPr>
        <w:spacing w:before="0" w:after="0"/>
      </w:pPr>
    </w:p>
    <w:p>
      <w:r>
        <w:t xml:space="preserve">U izvještajnoj godini ostvareno je 16.633,30 eura rashoda dok je u prošloj izvještajnoj godini  ostvareno 2.390,90 eura rashoda. Do znatnog povećanja došlo je  zbog obnove vanjskih prilaznih stepenica kod gl. ulaza u školu. Stepenice su znatno bile oštećene te su predstavljale opasnost za učenike  i zaposlenike škole kao i ostale građane koji nisu zaposlenici te je trebalo pristupiti samoj obnovi.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w:t>
            </w:r>
          </w:p>
        </w:tc>
      </w:tr>
    </w:tbl>
    <w:p>
      <w:pPr>
        <w:spacing w:before="0" w:after="0"/>
      </w:pPr>
    </w:p>
    <w:p>
      <w:r>
        <w:t xml:space="preserve"> U tekućoj izvještajnoj godini ostvareno je 2.212,47 eura rashoda što čini povećanje za 21,3 rashoda u odnosu na prošlu izvještajnu godinu. Rashodi se odnose na sistematski pregled radnika koji je iznosio 1.751,97 eur te 120,00 eur na liječnički pregled domara i pomoćnika u nastavi, 318,60 eura na mikrobiološku analiza hrane te 21,90 produljenje sanitarne knjižice za kuharicu.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w:t>
            </w:r>
          </w:p>
        </w:tc>
      </w:tr>
    </w:tbl>
    <w:p>
      <w:pPr>
        <w:spacing w:before="0" w:after="0"/>
      </w:pPr>
    </w:p>
    <w:p>
      <w:r>
        <w:t xml:space="preserve">U tekućoj izvještajnoj godini ostvareno je 1831,6165 eura rashoda koji se odnose na nabavu materijala u svrhu sportskih natjecanja učenika osnovnih škola. U odnosu na prošlo izvještajno razdoblje troškovi su znatno manji jer škola je završila s projektom Erasmus+.</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r>
        <w:t xml:space="preserve">U izvještajnoj godini Škola je ostvarila 2443,68 eura rashoda što se odnosi na naknadu u slučaju neispunjavanja kvote u zapošljavanju osoba sa invaliditetom.</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w:t>
            </w:r>
          </w:p>
        </w:tc>
      </w:tr>
    </w:tbl>
    <w:p>
      <w:pPr>
        <w:spacing w:before="0" w:after="0"/>
      </w:pPr>
    </w:p>
    <w:p>
      <w:r>
        <w:t xml:space="preserve">U izvještajnoj godini ostvareno je 855,20 eura dok su u prošlom izvještajnom razdoblju iznosili 9.116,05. rashoda koji su se odnosili za aktivnosti učenika u projektu „Erasmus + Mi smo djeca ove zemlje“.  Zbog završetka projekta u tekućoj godini nije bilo potrebe za financiranje samih aktivnosti učenika što je rezultiralo smanjenjem rashoda.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w:t>
            </w:r>
          </w:p>
        </w:tc>
      </w:tr>
    </w:tbl>
    <w:p>
      <w:pPr>
        <w:spacing w:before="0" w:after="0"/>
      </w:pPr>
    </w:p>
    <w:p>
      <w:r>
        <w:t xml:space="preserve">Do smanjenja financijskih rashoda došlo je zbog toga jer je škola od 01.09.2025. ušla u punu riznicu. U skaldu s tim ukinut je žiro račun škole te nema više troškova za vođenje računa i drugih povezanih bankarskih rashoda.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r>
        <w:t xml:space="preserve">U tekućoj izvještajnoj godini ostvareno je 216 eura rashoda za nabavu higijenskih potrepština za učenice škole.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w:t>
            </w:r>
          </w:p>
        </w:tc>
      </w:tr>
    </w:tbl>
    <w:p>
      <w:pPr>
        <w:spacing w:before="0" w:after="0"/>
      </w:pPr>
    </w:p>
    <w:p>
      <w:r>
        <w:t xml:space="preserve">Osnovna škola Gornje Jesenje prenijela je višak od 4.706,84 eura, što sada iznosi 4.579,71, koji je korigiran tomom godine za -127,13.</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w:t>
            </w:r>
          </w:p>
        </w:tc>
      </w:tr>
    </w:tbl>
    <w:p>
      <w:pPr>
        <w:spacing w:before="0" w:after="0"/>
      </w:pPr>
    </w:p>
    <w:p>
      <w:r>
        <w:t xml:space="preserve">U tekućoj izvještajnoj godini ostvareno je 5.901,88 eura rashoda za nabavu uredskih stolica za potrebe računovodstva kao i sportske opreme te računala i računalne opreme za potrebe učenika.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bl>
    <w:p>
      <w:pPr>
        <w:spacing w:before="0" w:after="0"/>
      </w:pPr>
    </w:p>
    <w:p>
      <w:r>
        <w:t xml:space="preserve">U izvještajnoj godini ostvareno je ukupno 5.627,43 od tog iznos utrošeno je  5.181,33 eura rashoda za nabavu udžbenika za učenike u školskoj godini 25/26, te  446,10 eur za nabavu lektire za potrebe knjižnice.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68.581,18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1304,5</w:t>
            </w:r>
          </w:p>
        </w:tc>
      </w:tr>
    </w:tbl>
    <w:p>
      <w:pPr>
        <w:spacing w:before="0" w:after="0"/>
      </w:pPr>
    </w:p>
    <w:p>
      <w:r>
        <w:t xml:space="preserve">Preneseni višak prihoda iz 2024 u 2025.g  iznosio je 4.579,71. Sveukupan manjak iznosi 68.581,18 eur te kada mu se pridoda višak iz 2024. on iznosi na kraju 2025.g.  64.001,71 eur. Na kraju 2025.godine evidentiran je manjak  iz razloga što su ukinuti rashodi budućih razdoblja konto 193 te su u rashode uključene plaće za zaposlene za 12/2025 koje dospijevaju u siječnju 2026. Također su uključeni rashodi za šk. kuhinju ostali tekući rashodi sa dospijećem u 2026.g.</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 Stanje sredstava na žiro računu škole iznosi 0,00 jer smo  od 01.rujna</w:t>
      </w:r>
    </w:p>
    <w:p>
      <w:r>
        <w:t xml:space="preserve">2025.godine ušli u punu Riznicu.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w:t>
            </w:r>
          </w:p>
        </w:tc>
      </w:tr>
    </w:tbl>
    <w:p>
      <w:pPr>
        <w:spacing w:before="0" w:after="0"/>
      </w:pPr>
    </w:p>
    <w:p>
      <w:r>
        <w:t xml:space="preserve">Uslijed  povećanjea minimalne bruto plaće došlo je dopovećanja naknadae zbog nezapošljavanja osobe sa invaliditetom.</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1.272.959,89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1.263.150,04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99,2</w:t>
            </w:r>
          </w:p>
        </w:tc>
      </w:tr>
    </w:tbl>
    <w:p>
      <w:pPr>
        <w:spacing w:before="0" w:after="0"/>
      </w:pPr>
    </w:p>
    <w:p>
      <w:r>
        <w:t xml:space="preserve">U izvještajnoj godini stanje imovine na dan 31.12.2025. iznosi ukupno 1.263.150,04 eura. Od ukupnog iznosa, nefinancijska imovina iznosi 1.197.848,14 eura, dok financijska imovina iznosi 65.301,90 eura. U 2025. godini nabavljena je oprema u vrijednosti od 5.901,88 eura te udžbenici i lektira u vrijednosti od 5.627,43 eura. U tekućoj izvještajnoj godini, na poziciji s kontom 129, ostala potraživanja iznose 1.177,42 eura, u odnosu na prošlu godinu došlo je do povećanja od 5,5% zbog naknade bolovanja od strane HZZO-a.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1.272.959,89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1.263.150,04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99,2</w:t>
            </w:r>
          </w:p>
        </w:tc>
      </w:tr>
    </w:tbl>
    <w:p>
      <w:pPr>
        <w:spacing w:before="0" w:after="0"/>
      </w:pPr>
    </w:p>
    <w:p>
      <w:r>
        <w:t xml:space="preserve">U izvještajnoj godini  stanje obveza i vlastitih izvora ukupno iznose 1.263.150,04 eura. Od tog iznosa obveze iznose 73.488,57 eura, dok vlastiti izvori iznose 1.189.661,47 eura. Iskazane obveze su troškovi nastali krajem prosinca 2025. i  za mjesec prosinac 2025. s datumom dospijeća u siječnju 2026. Na kraju izvještajne godine ostvareno je 64.001,47 eura manjka prihoda koji se prenosi u sljedeću proračunsku godinu. Zbog ukidanja kontinuiranih rashoda konto 193, u rashode za 2025 ulaze plaće za 12/2025 te ostali tekući troškovi čije je dospijeće u 2026.g.  Na poziciji izvanbilančnih  zapisa 996 konto evidentirano je 19.394,66 eura što je ostalo nepromijenjeno odnosu na prošlo izvještajno razdoblje.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154,3</w:t>
            </w:r>
          </w:p>
        </w:tc>
      </w:tr>
    </w:tbl>
    <w:p>
      <w:pPr>
        <w:spacing w:before="0" w:after="0"/>
      </w:pPr>
    </w:p>
    <w:p>
      <w:r>
        <w:t xml:space="preserve">Temeljem Pravilnika  o računskom planu  primjeni od 01.siječnja 2025.  konta iz podskupine 239, (odjeljak 2395) prenesena su u  skupinu 27 te je  promjena evidentirana u oba stupca.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na dan 31.12.2025. iznose 8.253,21 eura,a odnosi se na sredstva  ostvarerena prema izvorima financiranja i prenesena sa konta 11121.</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bl>
    <w:p>
      <w:pPr>
        <w:spacing w:before="0" w:after="0"/>
      </w:pPr>
    </w:p>
    <w:p>
      <w:r>
        <w:t xml:space="preserve">Iznos na kontu 27612 iznosi 1.131,97 eura,a odnosi se na potraživanja od HZZO-a za refundaciju bolovanja zaposlenika iz prethodnih godina.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Tijekom izvještajne godine izvršena je korekcija prenesenog viška. Preneseni višak iz prethodne godine smanjen je za 127,13 u skladu s Odlukom o povratu sredstava.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709.478,06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795.168,63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U izvještajnoj godini ukupno rashodi iznose 795.168,63 eura. Osnovno obrazovanje iznosi 759.468,61 eura, dodatne usluge iznose 35.700,02 eura.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30.063,43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35.700,02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bl>
    <w:p>
      <w:pPr>
        <w:spacing w:before="0" w:after="0"/>
      </w:pPr>
    </w:p>
    <w:p>
      <w:r>
        <w:t xml:space="preserve">U izvještajnoj godini  ostvareni su rashodi u iznosu od 35.700,02 eura što povećanje za 18.7% u odnosu na prošlo izvještajno razdoblje. Razlog povećanje odnosi se na povećanje cijene prijevoza učenika na izlete i terenske nastave.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obračun amortizacije proizvedene dugotrajne imovine u izvještajnom razdoblju.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745.615,63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tekućoj izvještajnoj godini ostvareno je 745.515,63 eura rashoda. Od ukupnog ostvarenih rashoda u izvještajnoj godini, za rashode plaća  i materijalna prava  zaposlenika ostvareno je 620.466,03 eura,  za materijalne rashode ostvareno je 109.978,14 eura, za usluge banke ostvareno je 345,72 eura, za nabavu opreme 11.529,31eura,  te ostale tekuće obveze 2.917,18 eura.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726.557,76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tekućoj izvještajnoj godini podmireno je 726.557,76 eura rashoda. Od ukupno podmirenih rashoda u izvještajnoj godini, za rashode plaća  i materijalna prava  zaposlenika podmireno je 614.136,09 eura, za materijalne rashode podmireno je 97.198,20 eura, za usluge banke podmireno je 413,91 eura, za nabavu opreme 11 529,31 eura  te ostale tekuće obveze 2.971,18,00 eura.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73.488,57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razdoblja stanje obveza iznosi 73.488,57 eura. Od ukupnog iznosa  rashodi za zaposlene iznose 54.820,72 eura, za plaću za mjesec prosinac 2025.godine koja dospijeva u siječnju 2026., za materijalne rashode obveze na kraju izvještajnog razdoblja iznose 17.375,490eura, obveze za financijske rashode iznose 68,19 eura, dok ostale tekuće obveze iznose 1.292,36,18 eura.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računa na kraju izvještajne godine iznosi 38,53 eura odnosi se na rashode za  namirnice za školsku kuhinju. Obveze nisu podmirene u propisanom roku zbog kašnjenja uplate sredstva za besplatnu šk.prehranu.</w:t>
      </w:r>
    </w:p>
    <w:p/>
    <w:p>
      <w:pPr>
        <w:jc w:val="center"/>
        <w:pStyle w:val="Normal"/>
        <w:spacing w:line="240" w:lineRule="auto"/>
        <w:keepNext/>
      </w:pPr>
      <w:r>
        <w:rPr>
          <w:sz w:val="28"/>
          <w:rFonts w:ascii="Times New Roman" w:hAnsi="Times New Roman"/>
        </w:rPr>
        <w:t xml:space="preserve">Bilješka 39.</w:t>
      </w:r>
    </w:p>
    <w:p>
      <w:pPr>
        <w:jc w:val="both"/>
        <w:pStyle w:val="Normal"/>
        <w:spacing w:line="240" w:lineRule="auto"/>
      </w:pPr>
      <w:r>
        <w:rPr>
          <w:b/>
          <w:sz w:val="24"/>
          <w:rFonts w:ascii="Times New Roman" w:hAnsi="Times New Roman"/>
        </w:rPr>
        <w:t xml:space="preserve">EU izvještaj</w:t>
      </w:r>
    </w:p>
    <w:p>
      <w:r>
        <w:t xml:space="preserve">U izvještajnoj godini ostvarena su sredstva iz EU fondova u ukupnom iznosu od 16.468,25 eura. Od navedenog iznosa, 6.000,00 eura odnosi se na Erasmus+ projekt Mi smo djeca ove Zemlje, a preostali dio sredstava ostvaren je u sklopu projekta Baltazar 8 - asistenti u nastavi. Ukupni rashodi iznose 16.504,08 eura.</w:t>
      </w:r>
    </w:p>
    <w:p>
      <w:r>
        <w:t xml:space="preserve">Izvor 510 odnosi se na Erasmus projekt +Mi smo djeca ove Zemlje. Program je usmjeren na jednu od najvažnijih tema današnjice - očuvanje i zaštitu okoliša. Sastavni dio projekta je međunarodna razmjena učenika i nastavnika. Projekt također omogućuje svim sudionicima upoznavanje s kulturama drugih europskih naroda. U tekućoj izvještajnoj godini ostvareno je 6.000,00 eura prihoda, od ukupnog iznosa, 4.171,87 eura prihoda odnosi se na tekuću pomoć, dok se 1.828,13 eura prihoda odnosi na kapitalnu pomoć. Ukupni rashodi iznosili su 4.433,32 eura i odnose se na kupnju školske opreme i ostale materijalne rashode škole u sklopu projekta. Projekt je završen 2025. godine. </w:t>
      </w:r>
    </w:p>
    <w:p>
      <w:r>
        <w:t xml:space="preserve">Na izvoru 561, u izvještajnom razdoblju, prihodi iznose 7.944,69 eura, a rashodi 8.781,42 eura, a odnose se na projekt Baltazar 8.</w:t>
      </w:r>
    </w:p>
    <w:p>
      <w:r>
        <w:t xml:space="preserve">Nacionalno sufinanciranje ostvarilo je 2.523,36 eura prihoda i 3.289,34 eura rashoda, što se odnosi i na projekt Baltazar 8.</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8eda4a76dec4c74" /></Relationships>
</file>